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20-3-20-7/1303-И от 20.02.2025</w:t>
      </w:r>
    </w:p>
    <w:p w:rsidR="003E278E" w:rsidRDefault="00842782" w:rsidP="00842782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4278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Приложение </w:t>
      </w:r>
    </w:p>
    <w:p w:rsidR="00842782" w:rsidRDefault="00842782" w:rsidP="00842782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42782" w:rsidRPr="00842782" w:rsidRDefault="00842782" w:rsidP="00842782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</w:p>
    <w:p w:rsidR="003E278E" w:rsidRDefault="003E278E" w:rsidP="003E27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3D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Темы эссе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 </w:t>
      </w:r>
      <w:r w:rsidRPr="00D63DDD">
        <w:rPr>
          <w:rFonts w:ascii="Times New Roman" w:hAnsi="Times New Roman" w:cs="Times New Roman"/>
          <w:b/>
          <w:sz w:val="28"/>
          <w:szCs w:val="28"/>
          <w:lang w:val="ru-RU"/>
        </w:rPr>
        <w:t>комплексном аналитическом обобщении результатов деятельности педагога</w:t>
      </w:r>
    </w:p>
    <w:p w:rsidR="003E278E" w:rsidRDefault="003E278E" w:rsidP="003E278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11"/>
        <w:tblpPr w:leftFromText="180" w:rightFromText="180" w:vertAnchor="text" w:tblpX="-880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704"/>
        <w:gridCol w:w="9781"/>
      </w:tblGrid>
      <w:tr w:rsidR="003E278E" w:rsidRPr="00602548" w:rsidTr="00200121">
        <w:tc>
          <w:tcPr>
            <w:tcW w:w="704" w:type="dxa"/>
          </w:tcPr>
          <w:p w:rsidR="003E278E" w:rsidRPr="00D42994" w:rsidRDefault="003E278E" w:rsidP="00200121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b/>
                <w:sz w:val="24"/>
                <w:szCs w:val="24"/>
                <w:lang w:eastAsia="hi-IN" w:bidi="hi-IN"/>
              </w:rPr>
            </w:pPr>
            <w:r w:rsidRPr="00D42994">
              <w:rPr>
                <w:rFonts w:ascii="Times New Roman" w:hAnsi="Times New Roman" w:cs="DejaVu Sans"/>
                <w:b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9781" w:type="dxa"/>
          </w:tcPr>
          <w:p w:rsidR="003E278E" w:rsidRPr="00602548" w:rsidRDefault="003E278E" w:rsidP="00200121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4"/>
                <w:szCs w:val="24"/>
                <w:lang w:eastAsia="hi-IN" w:bidi="hi-IN"/>
              </w:rPr>
            </w:pPr>
            <w:r w:rsidRPr="00AA0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ТЕМЫ ЭССЕ</w:t>
            </w:r>
          </w:p>
        </w:tc>
      </w:tr>
      <w:tr w:rsidR="003E278E" w:rsidRPr="00602548" w:rsidTr="00200121">
        <w:tc>
          <w:tcPr>
            <w:tcW w:w="10485" w:type="dxa"/>
            <w:gridSpan w:val="2"/>
          </w:tcPr>
          <w:p w:rsidR="003E278E" w:rsidRPr="00AA0D54" w:rsidRDefault="003E278E" w:rsidP="00200121">
            <w:pPr>
              <w:jc w:val="center"/>
              <w:rPr>
                <w:rFonts w:ascii="Times New Roman" w:hAnsi="Times New Roman" w:cs="DejaVu Sans"/>
                <w:b/>
                <w:bCs/>
                <w:sz w:val="28"/>
                <w:szCs w:val="28"/>
                <w:lang w:val="kk-KZ" w:eastAsia="hi-IN" w:bidi="hi-IN"/>
              </w:rPr>
            </w:pPr>
            <w:r>
              <w:rPr>
                <w:rFonts w:ascii="Times New Roman" w:hAnsi="Times New Roman" w:cs="DejaVu Sans"/>
                <w:b/>
                <w:bCs/>
                <w:sz w:val="28"/>
                <w:szCs w:val="28"/>
                <w:lang w:val="kk-KZ" w:eastAsia="hi-IN" w:bidi="hi-IN"/>
              </w:rPr>
              <w:t>Для педагогов дошкольных организаций</w:t>
            </w:r>
          </w:p>
        </w:tc>
      </w:tr>
      <w:tr w:rsidR="0002695A" w:rsidRPr="00842782" w:rsidTr="00200121"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1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Мои принципы в работе 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 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воспитанниками</w:t>
            </w:r>
          </w:p>
        </w:tc>
      </w:tr>
      <w:tr w:rsidR="0002695A" w:rsidRPr="00842782" w:rsidTr="00200121"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Влияние семьи на становление личности ребенка в дошкольном возрасте</w:t>
            </w:r>
          </w:p>
        </w:tc>
      </w:tr>
      <w:tr w:rsidR="0002695A" w:rsidRPr="00842782" w:rsidTr="00200121"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3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Роль воспитателя в формировании эмоциональной сферы ребенка</w:t>
            </w:r>
          </w:p>
        </w:tc>
      </w:tr>
      <w:tr w:rsidR="0002695A" w:rsidRPr="00842782" w:rsidTr="00200121"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4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Влияние игровой деятельности на развитие ребенка </w:t>
            </w:r>
          </w:p>
        </w:tc>
      </w:tr>
      <w:tr w:rsidR="0002695A" w:rsidRPr="00842782" w:rsidTr="00200121"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5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Взаимодействие с родителями как фактор успешного развития ребенка</w:t>
            </w:r>
          </w:p>
        </w:tc>
      </w:tr>
      <w:tr w:rsidR="0002695A" w:rsidRPr="00842782" w:rsidTr="00200121"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6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Особенности воспитания и обучения детей с особыми 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образовательными 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потребностями </w:t>
            </w:r>
          </w:p>
        </w:tc>
      </w:tr>
      <w:tr w:rsidR="0002695A" w:rsidRPr="00842782" w:rsidTr="00200121"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7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Роль воспитателя в формировании навыков социального взаимодействия </w:t>
            </w:r>
          </w:p>
        </w:tc>
      </w:tr>
      <w:tr w:rsidR="0002695A" w:rsidRPr="00842782" w:rsidTr="00200121"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8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Значение физического развития в дошкольном возрасте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9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Принципы формирования здорового образа жизни у детей 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дошкольного возраста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val="kk-KZ" w:eastAsia="hi-IN" w:bidi="hi-IN"/>
              </w:rPr>
              <w:t>10</w:t>
            </w:r>
            <w:r>
              <w:rPr>
                <w:rFonts w:ascii="Times New Roman" w:hAnsi="Times New Roman" w:cs="DejaVu Sans"/>
                <w:sz w:val="28"/>
                <w:szCs w:val="24"/>
                <w:lang w:val="kk-KZ"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творческих способностей детей в дошкольном возрасте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коммуникативных навыков у детей дошкольного возраста и роль воспитателя в этом процессе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Профессиональное саморазвитие воспитателя и его влияние на качество 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воспитательно-образовательного процесса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Роль воспитателя в формировании личности ребенка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14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Проблемы и пути их решения в воспитании агрессивного поведения у д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етей д</w:t>
            </w:r>
            <w:proofErr w:type="spellStart"/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ошкольн</w:t>
            </w:r>
            <w:proofErr w:type="spellEnd"/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ого возраста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</w:pPr>
            <w:r w:rsidRPr="001450F3"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15</w:t>
            </w:r>
            <w:r>
              <w:rPr>
                <w:rFonts w:ascii="Times New Roman" w:hAnsi="Times New Roman" w:cs="DejaVu Sans"/>
                <w:sz w:val="28"/>
                <w:szCs w:val="24"/>
                <w:lang w:eastAsia="hi-IN" w:bidi="hi-IN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Влияние мультимедийных технологий на развитие ребенка дошкольного возраста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450F3"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val="ru-KZ" w:eastAsia="ru-RU"/>
              </w:rPr>
              <w:t xml:space="preserve">Профилактика речевых нарушений у детей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450F3"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Применение цифровых технологий и ресурсов для развития функциональной грамотности 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воспитанников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450F3"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психологического развития детей дошкольного возраста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450F3"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Воспитание у детей 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дошкольного возраста 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уважения к </w:t>
            </w:r>
            <w:proofErr w:type="spellStart"/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окружающе</w:t>
            </w:r>
            <w:proofErr w:type="spellEnd"/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му миру</w:t>
            </w:r>
          </w:p>
        </w:tc>
      </w:tr>
      <w:tr w:rsidR="0002695A" w:rsidRPr="0002695A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450F3"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Важность индивидуального подхода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Организация игровой деятельности в </w:t>
            </w:r>
            <w:proofErr w:type="spellStart"/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</w:t>
            </w:r>
            <w:proofErr w:type="spellEnd"/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й организации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ее значимость для развития детей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Воспитание творческой активности у детей дошкольного возраста и роль воспитателя в этом процессе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23.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безопасной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, комфортной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среды: как поддержать эмоциональное благополучие 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воспитанников</w:t>
            </w: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через творчество: как искусство развивает детей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25.</w:t>
            </w:r>
          </w:p>
        </w:tc>
        <w:tc>
          <w:tcPr>
            <w:tcW w:w="9781" w:type="dxa"/>
          </w:tcPr>
          <w:p w:rsidR="0002695A" w:rsidRPr="00B74F40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4F4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Воспитание и обучение детей дошкольного возраста на основе национальных ценностей</w:t>
            </w:r>
          </w:p>
        </w:tc>
      </w:tr>
      <w:tr w:rsidR="003E278E" w:rsidRPr="00D63DDD" w:rsidTr="00200121">
        <w:trPr>
          <w:trHeight w:val="369"/>
        </w:trPr>
        <w:tc>
          <w:tcPr>
            <w:tcW w:w="10485" w:type="dxa"/>
            <w:gridSpan w:val="2"/>
          </w:tcPr>
          <w:p w:rsidR="003E278E" w:rsidRPr="00D63DDD" w:rsidRDefault="003E278E" w:rsidP="00200121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b/>
                <w:sz w:val="28"/>
                <w:szCs w:val="24"/>
                <w:lang w:val="kk-KZ" w:eastAsia="hi-IN" w:bidi="hi-IN"/>
              </w:rPr>
            </w:pPr>
            <w:r w:rsidRPr="00D63DDD">
              <w:rPr>
                <w:rFonts w:ascii="Times New Roman" w:hAnsi="Times New Roman" w:cs="DejaVu Sans"/>
                <w:b/>
                <w:sz w:val="28"/>
                <w:szCs w:val="24"/>
                <w:lang w:val="kk-KZ" w:eastAsia="hi-IN" w:bidi="hi-IN"/>
              </w:rPr>
              <w:t>Для педагогов среднего образования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</w:p>
        </w:tc>
        <w:tc>
          <w:tcPr>
            <w:tcW w:w="9781" w:type="dxa"/>
            <w:shd w:val="clear" w:color="auto" w:fill="auto"/>
          </w:tcPr>
          <w:p w:rsidR="0002695A" w:rsidRPr="0002695A" w:rsidRDefault="0002695A" w:rsidP="0002695A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способностей учащихся: как выбирать и применять методы обучения?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выбирать и применять ресурсы на уроке, учитывая потребности учащихся?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Мотивация к изучению сложных тем: стратегии успеха обучения всех учеников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 и приемы повышения интереса обучающихся к изучению темы на уроке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Вовлечение учащихся в самостоятельную работу: как это сделать эффективно?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Подходы к удовлетворению индивидуальных потребностей обучающихся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Способы эффективного применения ресурсов на уроке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Стратегии и приемы организации эффективного взаимодействия на уроке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навыков сотрудничества и критического мышления в ходе групповой работы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 за прогрессом учащихс</w:t>
            </w:r>
            <w:r w:rsidR="001F0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я: основные подходы и стратегии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учащихся с низким темпом обучения: подходы и приемы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 эффективного освоения учебного материала на уроке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Приемы вовлечения учащихся в изучение темы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Обратная связь как инструмент развития обучающихся: стратегии и приемы организации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Обратная связь во время выполнения задания: целесообразность и результативность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функциональной грамотности: как применять практико-ориентированные задания?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val="ru-KZ" w:eastAsia="ru-RU"/>
              </w:rPr>
              <w:t>Э</w:t>
            </w:r>
            <w:proofErr w:type="spellStart"/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ффективные</w:t>
            </w:r>
            <w:proofErr w:type="spellEnd"/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стратегии работы с текстами </w:t>
            </w:r>
            <w:r w:rsidRPr="002A5B64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на </w:t>
            </w: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</w:t>
            </w:r>
            <w:r w:rsidRPr="002A5B64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цифровых технологий и ресурсов для развития функциональной грамотности учащихся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критического мышления: оценка эффективности применения стратегий на уроке для достижения целей обучения.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 оценки эффективности дидактических материалов для учащихся с разным уровнем подготовки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Развитие рефлексивной компетентности учащегося на уроке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Пять инструментов развития исследовательской компетентности обучающихся.</w:t>
            </w:r>
          </w:p>
        </w:tc>
      </w:tr>
      <w:tr w:rsidR="0002695A" w:rsidRPr="0002695A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23.</w:t>
            </w:r>
          </w:p>
        </w:tc>
        <w:tc>
          <w:tcPr>
            <w:tcW w:w="9781" w:type="dxa"/>
            <w:shd w:val="clear" w:color="auto" w:fill="auto"/>
          </w:tcPr>
          <w:p w:rsidR="0002695A" w:rsidRPr="0002695A" w:rsidRDefault="0002695A" w:rsidP="0002695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Оценивание групповых проектов </w:t>
            </w:r>
            <w:r w:rsidRPr="0002695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  <w:t>обучающихся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24.</w:t>
            </w:r>
          </w:p>
        </w:tc>
        <w:tc>
          <w:tcPr>
            <w:tcW w:w="9781" w:type="dxa"/>
            <w:shd w:val="clear" w:color="auto" w:fill="auto"/>
          </w:tcPr>
          <w:p w:rsidR="0002695A" w:rsidRPr="0002695A" w:rsidRDefault="0002695A" w:rsidP="0002695A">
            <w:pPr>
              <w:tabs>
                <w:tab w:val="left" w:pos="709"/>
                <w:tab w:val="num" w:pos="1134"/>
              </w:tabs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объективного оценивания достижений обучающихся</w:t>
            </w:r>
          </w:p>
        </w:tc>
      </w:tr>
      <w:tr w:rsidR="0002695A" w:rsidRPr="00842782" w:rsidTr="0002695A">
        <w:trPr>
          <w:trHeight w:val="417"/>
        </w:trPr>
        <w:tc>
          <w:tcPr>
            <w:tcW w:w="704" w:type="dxa"/>
          </w:tcPr>
          <w:p w:rsidR="0002695A" w:rsidRPr="001450F3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Критерии лучших педагогических практик в </w:t>
            </w:r>
            <w:proofErr w:type="spellStart"/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компетентностном</w:t>
            </w:r>
            <w:proofErr w:type="spellEnd"/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образовании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26.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Стратегии для развития потенциала профессионального самоопределения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создания среды для развития личностного потенциала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Развивающие возможности искусственного интеллекта на уроке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Международные исследования </w:t>
            </w:r>
            <w:r w:rsidRPr="002A5B64">
              <w:rPr>
                <w:rFonts w:ascii="Times New Roman" w:hAnsi="Times New Roman" w:cs="DejaVu Sans"/>
                <w:sz w:val="28"/>
                <w:szCs w:val="24"/>
                <w:lang w:val="kk-KZ" w:eastAsia="hi-IN" w:bidi="hi-IN"/>
              </w:rPr>
              <w:t xml:space="preserve"> PISA, TIMSS:  взгляд на преподавание предмета</w:t>
            </w: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урока: три доказательства эффективности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Стратегии создания комфорта на уроке для учащихся с особыми</w:t>
            </w:r>
            <w:r w:rsidR="00A37C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образовательными потребностями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32.</w:t>
            </w:r>
          </w:p>
        </w:tc>
        <w:tc>
          <w:tcPr>
            <w:tcW w:w="9781" w:type="dxa"/>
            <w:shd w:val="clear" w:color="auto" w:fill="auto"/>
          </w:tcPr>
          <w:p w:rsidR="0002695A" w:rsidRPr="00A37CA4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A5B64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Профессиональный стандарт «Педагог» как ориентир для личностного роста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hAnsi="Times New Roman" w:cs="DejaVu Sans"/>
                <w:sz w:val="28"/>
                <w:szCs w:val="24"/>
                <w:lang w:val="kk-KZ" w:eastAsia="hi-IN" w:bidi="hi-IN"/>
              </w:rPr>
              <w:t>Развитие читательской грамотности обучающихся: возможности урока</w:t>
            </w: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Возможности функциональной грамотности в профессиональном определении выпускника школы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безопасной учебной среды: как поддержать эмоциональное благополучие учащихся?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Сотрудничество с родителями: мои педагогические убеждения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Точки роста в моем профессиональном развитии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Почему педагогу важно быть академически честным?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num" w:pos="567"/>
                <w:tab w:val="left" w:pos="709"/>
                <w:tab w:val="num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Привитие ценностей: как воспитывать уважение к различным культурам и традициям на уроке?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40.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hAnsi="Times New Roman"/>
                <w:sz w:val="28"/>
                <w:szCs w:val="28"/>
                <w:lang w:val="kk-KZ" w:eastAsia="ru-RU"/>
              </w:rPr>
              <w:t>Успешные практики привлечения выпускников школ к педагогической профессии</w:t>
            </w: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41.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A5B64">
              <w:rPr>
                <w:rFonts w:ascii="Times New Roman" w:hAnsi="Times New Roman"/>
                <w:sz w:val="28"/>
                <w:szCs w:val="28"/>
                <w:lang w:eastAsia="ru-RU"/>
              </w:rPr>
              <w:t>Инсайты</w:t>
            </w:r>
            <w:proofErr w:type="spellEnd"/>
            <w:r w:rsidRPr="002A5B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работе с одаренными детьми</w:t>
            </w: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42.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</w:t>
            </w:r>
            <w:proofErr w:type="spellStart"/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рименение</w:t>
            </w:r>
            <w:proofErr w:type="spellEnd"/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принципов академической честности при разрабо</w:t>
            </w:r>
            <w:r w:rsidR="007D25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тке проектов, заданий, ресурсов</w:t>
            </w:r>
          </w:p>
        </w:tc>
      </w:tr>
      <w:tr w:rsidR="0002695A" w:rsidRPr="00842782" w:rsidTr="00200121">
        <w:trPr>
          <w:trHeight w:val="369"/>
        </w:trPr>
        <w:tc>
          <w:tcPr>
            <w:tcW w:w="704" w:type="dxa"/>
          </w:tcPr>
          <w:p w:rsidR="0002695A" w:rsidRDefault="0002695A" w:rsidP="000269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43.</w:t>
            </w:r>
          </w:p>
        </w:tc>
        <w:tc>
          <w:tcPr>
            <w:tcW w:w="9781" w:type="dxa"/>
            <w:shd w:val="clear" w:color="auto" w:fill="auto"/>
          </w:tcPr>
          <w:p w:rsidR="0002695A" w:rsidRPr="002A5B64" w:rsidRDefault="0002695A" w:rsidP="0002695A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социальных сетей: как соблюдать этические нормы при использовании для общения с учениками или коллегами?</w:t>
            </w:r>
          </w:p>
        </w:tc>
      </w:tr>
      <w:tr w:rsidR="007D255E" w:rsidRPr="00842782" w:rsidTr="00200121">
        <w:trPr>
          <w:trHeight w:val="369"/>
        </w:trPr>
        <w:tc>
          <w:tcPr>
            <w:tcW w:w="704" w:type="dxa"/>
          </w:tcPr>
          <w:p w:rsidR="007D255E" w:rsidRDefault="007D255E" w:rsidP="007D255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44.</w:t>
            </w:r>
          </w:p>
        </w:tc>
        <w:tc>
          <w:tcPr>
            <w:tcW w:w="9781" w:type="dxa"/>
            <w:shd w:val="clear" w:color="auto" w:fill="auto"/>
          </w:tcPr>
          <w:p w:rsidR="007D255E" w:rsidRPr="002A5B64" w:rsidRDefault="007D255E" w:rsidP="007D255E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hAnsi="Times New Roman"/>
                <w:sz w:val="28"/>
                <w:szCs w:val="28"/>
                <w:lang w:eastAsia="ru-RU"/>
              </w:rPr>
              <w:t>Перспективы оценки качества образования для устойчивого развития</w:t>
            </w:r>
          </w:p>
        </w:tc>
      </w:tr>
      <w:tr w:rsidR="007D255E" w:rsidRPr="00842782" w:rsidTr="00200121">
        <w:trPr>
          <w:trHeight w:val="369"/>
        </w:trPr>
        <w:tc>
          <w:tcPr>
            <w:tcW w:w="704" w:type="dxa"/>
          </w:tcPr>
          <w:p w:rsidR="007D255E" w:rsidRDefault="007D255E" w:rsidP="007D255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45.</w:t>
            </w:r>
          </w:p>
        </w:tc>
        <w:tc>
          <w:tcPr>
            <w:tcW w:w="9781" w:type="dxa"/>
            <w:shd w:val="clear" w:color="auto" w:fill="auto"/>
          </w:tcPr>
          <w:p w:rsidR="007D255E" w:rsidRPr="002A5B64" w:rsidRDefault="007D255E" w:rsidP="007D255E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Мои педагогические убеждения о воздействии компетентностного подхода на выполнение ГОСО</w:t>
            </w:r>
          </w:p>
        </w:tc>
      </w:tr>
      <w:tr w:rsidR="007D255E" w:rsidRPr="00842782" w:rsidTr="00200121">
        <w:trPr>
          <w:trHeight w:val="369"/>
        </w:trPr>
        <w:tc>
          <w:tcPr>
            <w:tcW w:w="704" w:type="dxa"/>
          </w:tcPr>
          <w:p w:rsidR="007D255E" w:rsidRDefault="007D255E" w:rsidP="007D255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46.</w:t>
            </w:r>
          </w:p>
        </w:tc>
        <w:tc>
          <w:tcPr>
            <w:tcW w:w="9781" w:type="dxa"/>
            <w:shd w:val="clear" w:color="auto" w:fill="auto"/>
          </w:tcPr>
          <w:p w:rsidR="007D255E" w:rsidRPr="002A5B64" w:rsidRDefault="007D255E" w:rsidP="007D255E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Ключевые профессиональные качества эффектив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педагогического мастерства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47.</w:t>
            </w:r>
          </w:p>
        </w:tc>
        <w:tc>
          <w:tcPr>
            <w:tcW w:w="9781" w:type="dxa"/>
            <w:shd w:val="clear" w:color="auto" w:fill="auto"/>
          </w:tcPr>
          <w:p w:rsidR="00A37CA4" w:rsidRPr="00A37CA4" w:rsidRDefault="00A37CA4" w:rsidP="00A37CA4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KZ" w:eastAsia="ru-RU"/>
              </w:rPr>
              <w:t>Урок – творческий процесс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: авторская методика учителя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48.</w:t>
            </w:r>
          </w:p>
        </w:tc>
        <w:tc>
          <w:tcPr>
            <w:tcW w:w="9781" w:type="dxa"/>
            <w:shd w:val="clear" w:color="auto" w:fill="auto"/>
          </w:tcPr>
          <w:p w:rsidR="00A37CA4" w:rsidRPr="002A5B64" w:rsidRDefault="00A37CA4" w:rsidP="00A37CA4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чего складывается культура работы с нормативными правовыми актами?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49.</w:t>
            </w:r>
          </w:p>
        </w:tc>
        <w:tc>
          <w:tcPr>
            <w:tcW w:w="9781" w:type="dxa"/>
            <w:shd w:val="clear" w:color="auto" w:fill="auto"/>
          </w:tcPr>
          <w:p w:rsidR="00A37CA4" w:rsidRPr="002A5B64" w:rsidRDefault="00A37CA4" w:rsidP="00A37CA4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B64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Основные направления профориентационной работы в школе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50.</w:t>
            </w:r>
          </w:p>
        </w:tc>
        <w:tc>
          <w:tcPr>
            <w:tcW w:w="9781" w:type="dxa"/>
            <w:shd w:val="clear" w:color="auto" w:fill="auto"/>
          </w:tcPr>
          <w:p w:rsidR="00A37CA4" w:rsidRPr="007D255E" w:rsidRDefault="00A37CA4" w:rsidP="00A37CA4">
            <w:pPr>
              <w:tabs>
                <w:tab w:val="left" w:pos="709"/>
                <w:tab w:val="num" w:pos="1134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D25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7D25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контроль как инструмент управления качеством образования</w:t>
            </w:r>
          </w:p>
        </w:tc>
      </w:tr>
      <w:tr w:rsidR="00A37CA4" w:rsidRPr="00842782" w:rsidTr="00200121">
        <w:trPr>
          <w:trHeight w:val="369"/>
        </w:trPr>
        <w:tc>
          <w:tcPr>
            <w:tcW w:w="10485" w:type="dxa"/>
            <w:gridSpan w:val="2"/>
            <w:shd w:val="clear" w:color="auto" w:fill="FFFFFF" w:themeFill="background1"/>
          </w:tcPr>
          <w:p w:rsidR="00A37CA4" w:rsidRPr="001E1D5C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b/>
                <w:sz w:val="28"/>
                <w:szCs w:val="24"/>
                <w:lang w:val="kk-KZ" w:eastAsia="hi-IN" w:bidi="hi-IN"/>
              </w:rPr>
            </w:pPr>
            <w:r w:rsidRPr="001E1D5C">
              <w:rPr>
                <w:rFonts w:ascii="Times New Roman" w:hAnsi="Times New Roman" w:cs="DejaVu Sans"/>
                <w:b/>
                <w:sz w:val="28"/>
                <w:szCs w:val="24"/>
                <w:lang w:val="kk-KZ" w:eastAsia="hi-IN" w:bidi="hi-IN"/>
              </w:rPr>
              <w:t>Для педагогов технического и профессионального образования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Стартапы в колледжах: возможности для студентов и перспективы развития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искусственный интеллект меняет процесс обучения в колледже?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Эффективные методы активного обучения: применение на практике 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4.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WorldSkills как инструмент повышения качества профессионального образования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дуальное обучение способствует интеграции образования и рынка труда?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bookmarkStart w:id="1" w:name="_Hlk190436673"/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soft skills </w:t>
            </w:r>
            <w:bookmarkEnd w:id="1"/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студентов: современные педагогические подходы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Рабочие профессии в цифровую эпоху: новые горизонты и возможности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</w:rPr>
              <w:t xml:space="preserve">Саморазвитие педагога колледжа как основа успешного обучения студентов 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Роль интерактивных технологий в повышении мотивации студентов 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Технологии в образовании: новый взгляд на роль педагога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Роль проектной деятельности в формировании профессиональных навыков студентов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Академическая честность в колледже как требование времени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Интерактивные методы обучения: как сделать занятия более вовлекающими?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4001F">
              <w:rPr>
                <w:rFonts w:ascii="Times New Roman" w:hAnsi="Times New Roman" w:cs="Times New Roman"/>
                <w:sz w:val="28"/>
                <w:szCs w:val="28"/>
              </w:rPr>
              <w:t>Геймификация</w:t>
            </w:r>
            <w:proofErr w:type="spellEnd"/>
            <w:r w:rsidRPr="0044001F">
              <w:rPr>
                <w:rFonts w:ascii="Times New Roman" w:hAnsi="Times New Roman" w:cs="Times New Roman"/>
                <w:sz w:val="28"/>
                <w:szCs w:val="28"/>
              </w:rPr>
              <w:t xml:space="preserve"> в обучении: мотивация студентов через игровые технологии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</w:rPr>
              <w:t>Роль наставничества в профессиональном и личностном развитии студентов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Роль работодателей в организации взаимодействия с выпускниками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</w:rPr>
              <w:t>Использование мобильных приложений: новые возможности в обучении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Роль социальных сетей в обучении: угрозы и перспективы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Роль педагога-музыканта в воспитании культурного потенциала студентов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</w:rPr>
              <w:t>Создание среды для раскрытия личностного потенциала студента: ключевые средства и подходы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</w:rPr>
              <w:t>Роль музыки в трансформации культурных норм и ценностей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</w:rPr>
              <w:t>Стратегии формирования комфортной образовательной среды для учащихся с особыми потребностями.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как наставник: влияние на развитие студентов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</w:rPr>
              <w:t>Педагог и социум: перспективы взаимодействия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Стратегии поддержки эмоционального благополучия студентов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привлечь выпускников школ в рабочие профессии?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Лучшие практики в колледжах: пути повышения качества образования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навыков сотрудничества в ходе групповой работы 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Этика и профессионализм педагога в колледже: вызовы современности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30.</w:t>
            </w:r>
          </w:p>
        </w:tc>
        <w:tc>
          <w:tcPr>
            <w:tcW w:w="9781" w:type="dxa"/>
          </w:tcPr>
          <w:p w:rsidR="00A37CA4" w:rsidRPr="0044001F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01F">
              <w:rPr>
                <w:rFonts w:ascii="Times New Roman" w:hAnsi="Times New Roman" w:cs="Times New Roman"/>
                <w:sz w:val="28"/>
                <w:szCs w:val="28"/>
              </w:rPr>
              <w:t>Ключевые факторы успешной профессиональной социализации студентов колледжа</w:t>
            </w:r>
          </w:p>
        </w:tc>
      </w:tr>
      <w:tr w:rsidR="00A37CA4" w:rsidRPr="00D63DDD" w:rsidTr="00200121">
        <w:trPr>
          <w:trHeight w:val="369"/>
        </w:trPr>
        <w:tc>
          <w:tcPr>
            <w:tcW w:w="10485" w:type="dxa"/>
            <w:gridSpan w:val="2"/>
          </w:tcPr>
          <w:p w:rsidR="00A37CA4" w:rsidRPr="00014A28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b/>
                <w:sz w:val="28"/>
                <w:szCs w:val="24"/>
                <w:lang w:val="kk-KZ" w:eastAsia="hi-IN" w:bidi="hi-IN"/>
              </w:rPr>
            </w:pPr>
            <w:r w:rsidRPr="00014A28">
              <w:rPr>
                <w:rFonts w:ascii="Times New Roman" w:hAnsi="Times New Roman" w:cs="DejaVu Sans"/>
                <w:b/>
                <w:sz w:val="28"/>
                <w:szCs w:val="24"/>
                <w:lang w:val="kk-KZ" w:eastAsia="hi-IN" w:bidi="hi-IN"/>
              </w:rPr>
              <w:t>Для педагогов специального образования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Современные тенденции в специальном образовании: как адаптировать образовательный процесс?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Эффективные стратегии социализации детей с особыми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образовательными потребностями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3.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Профессиональное взаимодействие учителей и специальных педагогов: как выстроить продуктивное сотрудничество?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Роль школы и специального педагога в профориентации детей с особыми потребностями: успешные практики.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Методики логопедической помощи для детей с особыми образовательными потребностями: как выбрать оптимальный подход?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Игровая терапия как инструмент развития детей с особыми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образовательными потребностями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Инновационные психологические методы в обучении детей с особыми потребностями: что действительно работает?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Партнерство с родителями в специальных организациях: как наладить эффективное взаимодействие?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потенциала детей с нарушениями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звития: методики и рекомендации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Как повысить мотивацию детей с особыми образовательными потребностями к обучению?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Инклюзивная образовательная среда: как создать условия для успешной социализации учащихся?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Специальное образование в Казахстане: перспективы и векторы развития.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Развитие социальных навыков у детей с особыми образовательными потребн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остями в инклюзивных классах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Педагог-ассистент в инклюзивном образовании: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задачи и ключевые компетенции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Инновационные подходы в специальном образовании: 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Использование цифровых ресурсов в обучении детей с особыми 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ребностями: эффективные решения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Защита прав детей с особыми образовательными потребнос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тями в образовательном процессе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 детей с особыми образовательными 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ребностями: работающие методики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эмоционального интеллекта у детей с особыми потребностями: почему это важно?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детей с особыми образовательными потр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ебностями: вызовы и возможности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детей с ограниченными возможностями: как помочь выбрать путь?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Образовательные и карьерные перспективы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 с ограниченными возможностями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Как создать условия для эффективного обучения детей с особыми потребностями?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Формирование инклюзивной 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уры: роль специального педагога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25.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Раннее выявление особых образовательных потребностей: почему это ключевой фактор успеха?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Как правильно оценивать особые образовательные потреб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детей: методики и подходы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27.</w:t>
            </w:r>
          </w:p>
        </w:tc>
        <w:tc>
          <w:tcPr>
            <w:tcW w:w="9781" w:type="dxa"/>
          </w:tcPr>
          <w:p w:rsidR="00A37CA4" w:rsidRPr="001619F8" w:rsidRDefault="00A37CA4" w:rsidP="00A3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9F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детей с ограниченными возможностями: стратегии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лучшие практики</w:t>
            </w:r>
          </w:p>
        </w:tc>
      </w:tr>
      <w:tr w:rsidR="00A37CA4" w:rsidRPr="00D63DDD" w:rsidTr="00200121">
        <w:trPr>
          <w:trHeight w:val="369"/>
        </w:trPr>
        <w:tc>
          <w:tcPr>
            <w:tcW w:w="10485" w:type="dxa"/>
            <w:gridSpan w:val="2"/>
          </w:tcPr>
          <w:p w:rsidR="00A37CA4" w:rsidRPr="00014A28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DejaVu Sans"/>
                <w:b/>
                <w:sz w:val="28"/>
                <w:szCs w:val="24"/>
                <w:lang w:val="kk-KZ" w:eastAsia="hi-IN" w:bidi="hi-IN"/>
              </w:rPr>
            </w:pPr>
            <w:r w:rsidRPr="00014A28">
              <w:rPr>
                <w:rFonts w:ascii="Times New Roman" w:hAnsi="Times New Roman" w:cs="DejaVu Sans"/>
                <w:b/>
                <w:sz w:val="28"/>
                <w:szCs w:val="24"/>
                <w:lang w:val="kk-KZ" w:eastAsia="hi-IN" w:bidi="hi-IN"/>
              </w:rPr>
              <w:t>Для педагогов дополнительного образования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Профессия «педаг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 дополнительного образования»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Портрет «педаго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 дополнительного образования»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-профессия, педагог – призвание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«педагог» и карьера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Слагаемые успеха педагога дополнительного образования.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влюбленный в свое дело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Гордость педагога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Мораль современного педагога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сети и педагог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мационная безопасность педагога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 цифровом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ифровая компетентность педагога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Функ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циональная грамотность педагога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педагога и современные реалии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нальной компетентности педагога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Мотивация к совершенствованию собственных компетентност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педагога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потенциал педагога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лючевые компетентности педагога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фессиональное развитие педагога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Сохранение национальных ценно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стей в образовательном процессе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1D5C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Роль дополнительного образования в выборе будущей 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профессии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Кто я такой «педагог дополнительного образования»?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Что я лично могу сделать в профессии «педагог дополнительного образования»?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Что я лично могу сделать в организации дополнительного образования?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 xml:space="preserve">Мои педагогические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мотивации обучающихся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Увлеченный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и увлеченный воспитанник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мальное и неформальное обучение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педагогические траектории</w:t>
            </w:r>
          </w:p>
        </w:tc>
      </w:tr>
      <w:tr w:rsidR="00A37CA4" w:rsidRPr="00CC1C13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>Преобразования мое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профессиональной деятельности</w:t>
            </w:r>
          </w:p>
        </w:tc>
      </w:tr>
      <w:tr w:rsidR="00A37CA4" w:rsidRPr="00842782" w:rsidTr="00200121">
        <w:trPr>
          <w:trHeight w:val="369"/>
        </w:trPr>
        <w:tc>
          <w:tcPr>
            <w:tcW w:w="704" w:type="dxa"/>
          </w:tcPr>
          <w:p w:rsidR="00A37CA4" w:rsidRDefault="00A37CA4" w:rsidP="00A37CA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30.</w:t>
            </w:r>
          </w:p>
        </w:tc>
        <w:tc>
          <w:tcPr>
            <w:tcW w:w="9781" w:type="dxa"/>
          </w:tcPr>
          <w:p w:rsidR="00A37CA4" w:rsidRPr="001E1D5C" w:rsidRDefault="00A37CA4" w:rsidP="00A3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D5C">
              <w:rPr>
                <w:rFonts w:ascii="Times New Roman" w:hAnsi="Times New Roman" w:cs="Times New Roman"/>
                <w:sz w:val="28"/>
                <w:szCs w:val="28"/>
              </w:rPr>
              <w:t xml:space="preserve">Мои способности к саморазвитию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самообразованию</w:t>
            </w:r>
          </w:p>
        </w:tc>
      </w:tr>
    </w:tbl>
    <w:p w:rsidR="003E278E" w:rsidRPr="001C2A78" w:rsidRDefault="003E278E" w:rsidP="003E278E">
      <w:pPr>
        <w:ind w:firstLine="609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C7005" w:rsidRPr="003E278E" w:rsidRDefault="00BC7005" w:rsidP="003E278E">
      <w:pPr>
        <w:rPr>
          <w:lang w:val="ru-RU"/>
        </w:rPr>
      </w:pPr>
    </w:p>
    <w:sectPr w:rsidR="00BC7005" w:rsidRPr="003E278E" w:rsidSect="00BC7005">
      <w:pgSz w:w="12240" w:h="15840"/>
      <w:pgMar w:top="1134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20.02.2025 10:01 Дюсембаева Айман Тельмановна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20.02.2025 15:15 Карамбаев Жомарт Петрович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20-3-20-7/1303-И от 20.02.2025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МИНИСТЕРСТВО ПРОСВЕЩЕНИЯ РЕСПУБЛИКИ КАЗАХСТАН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АКТЮБИНСКОЙ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ГУ «УПРАВЛЕНИЕ ОБРАЗОВАНИЯ ТУРКЕСТАНСКОЙ ОБЛАСТИ»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АКМОЛИНСКОЙ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ГОРОДА АСТАНЫ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«УПРАВЛЕНИЕ ОБРАЗОВАНИЯ ОБЛАСТИ ЖЕТІСУ»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ГУ УПРАВЛЕНИЕ ОБРАЗОВАНИЯ ПАВЛОДАРСКОЙ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АКИМАТА КОСТАНАЙСКОЙ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ЗАПАДНО-КАЗАХСТАНСКОЙ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ОБЛАСТИ АБАЙ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ГОРОДА АЛМАТЫ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АКИМАТА СЕВЕРО-КАЗАХСТАНСКОЙ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ЖАМБЫЛСКОЙ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АЛМАТИНСКОЙ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МАНГИСТАУСКОЙ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АТЫРАУСКОЙ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ВОСТОЧНО-КАЗАХСТАНСКОЙ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ГУ «УПРАВЛЕНИЕ ОБРАЗОВАНИЯ ОБЛАСТИ ҰЛЫТАУ»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КОММУНАЛЬНОЕ ГОСУДАРСТВЕННОЕ УЧРЕЖДЕНИЕ «УПРАВЛЕНИЕ ОБРАЗОВАНИЯ КЫЗЫЛОРДИНСКОЙ ОБЛАСТИ»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КАРАГАНДИНСКОЙ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КАЗЕННОЕ ПРЕДПРИЯТИЕ «РЕСПУБЛИКАНСКИЙ УЧЕБНО-ОЗДОРОВИТЕЛЬНЫЙ ЦЕНТР «БАЛДАУРЕН» МИНИСТЕРСТВА ОБРАЗОВАНИЯ И НАУКИ РЕСПУБЛИКИ КАЗАХСТАН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АЛМАТИНСКАЯ РЕСПУБЛИКАНСКАЯ ШКОЛА «ЖАС УЛАН» ИМЕНИ БАУРЖАНА МОМЫШУЛЫ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КАРАГАНДИНСКАЯ РЕСПУБЛИКАНСКАЯ ШКОЛА «ЖАС УЛАН» ИМЕНИ ДВАЖДЫ ГЕРОЯ СОВЕТСКОГО СОЮЗА Т.Я. БЕГЕЛЬДИНОВА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ШЫМКЕНТСКАЯ РЕСПУБЛИКАНСКАЯ ШКОЛА «ЖАС УЛАН» ИМЕНИ ГЕРОЯ СОВЕТСКОГО СОЮЗА САБИРА РАХИМОВА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МИНИСТЕРСТВА КУЛЬТУРЫ И ИНФОРМАЦИИ РЕСПУБЛИКИ КАЗАХСТАН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«РЕСПУБЛИКАНСКАЯ СРЕДНЯЯ СПЕЦИАЛИЗИРОВАННАЯ МУЗЫКАЛЬНАЯ ШКОЛА-ИНТЕРНАТ ДЛЯ ОДАРЕННЫХ ДЕТЕЙ ИМЕНИ КУЛЯШ БАЙСЕИТОВОЙ» МИНИСТЕРСТВА КУЛЬТУРЫ И ИНФОРМАЦИИ РЕСПУБЛИКИ КАЗАХСТАН»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«РЕСПУБЛИКАНСКАЯ ФИЗИКО-МАТЕМАТИЧЕСКАЯ ШКОЛА»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"РЕСПУБЛИКАНСКАЯ СПЕЦИАЛИЗИРОВАННАЯ С УГЛУБЛЕННЫМ ИЗУЧЕНИЕМ КАЗАХСКОГО ЯЗЫКА И ЛИТЕРАТУРЫ СРЕДНЯЯ ШКОЛА-ИНТЕРНАТ ДЛЯ ОДАРЕННЫХ ДЕТЕЙ ИМЕНИ АБАЯ" 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"РЕСПУБЛИКАНСКАЯ СПЕЦИАЛИЗИРОВАННАЯ ШКОЛА-ИНТЕРНАТ-КОЛЛЕДЖ ОЛИМПИЙСКОГО РЕЗЕРВА В ГОРОДЕ РИДДЕР" КОМИТЕТА ПО ДЕЛАМ СПОРТА И ФИЗИЧЕСКОЙ КУЛЬТУРЫ МИНИСТЕРСТВА КУЛЬТУРЫ И СПОРТА РЕСПУБЛИКИ КАЗАХСТАН"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"РЕСПУБЛИКАНСКОЕ ГОСУДАРСТВЕННОЕ КАЗЕННОЕ ПРЕДПРИЯТИЕ "НАЦИОНАЛЬНЫЙ НАУЧНО-ПРАКТИЧЕСКИЙ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?БРАЗОВАТЕЛЬНЫЙ И ОЗДОРОВИТЕЛЬНЫЙ ЦЕНТР "БОБЕК" МИНИСТЕРСТВА ПРОСВЕЩЕНИЯ РЕСПУБЛИКИ КАЗАХСТАН""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ТУРИЗМА И СПОРТА РЕСПУБЛИКИ КАЗАХСТАН"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ҚАЗАҚСТАН РЕСПУБЛИКАСЫ ТУРИЗМ ЖӘНЕ СПОРТ МИНИСТРЛІГІ СПОРТ ЖӘНЕ ДЕНЕ ШЫНЫҚТЫРУ ІСТЕРІ КОМИТЕТІНІҢ АЛМАТЫ ҚАЛАСЫНЫҢ "ШАҢЫРАҚ" ШАҒЫН АУДАНЫНДАҒЫ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«КАЗАХСКИЙ НАЦИОНАЛЬНЫЙ УНИВЕРСИТЕТ ИСКУССТВ» МИНИСТЕРСТВА КУЛЬТУРЫ И ИНФОРМАЦИИ РЕСПУБЛИКИ КАЗАХСТАН»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\"РЕСПУБЛИКАНСКАЯ СПЕЦИАЛИЗИРОВАННАЯ ШКОЛА-ИНТЕРНАТ-КОЛЛЕДЖ ОЛИМПИЙСКОГО РЕЗЕРВА ИМЕНИ ХАДЖИМУКАНА МУНАЙТПАСОВА\" КОМИТЕТА ПО ДЕЛАМ СПОРТА И ФИЗИЧЕСКОЙ КУЛЬТУРЫ МИНИСТЕРСТВА ТУРИЗМА И СПОРТА РЕСПУБЛИКИ КАЗАХСТАН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КАЗЕННОЕ ПРЕДПРИЯТИЕ "РЕСПУБЛИКАНСКИЙ КОЛЛЕДЖ СПОРТА" КОМИТЕТА ПО ДЕЛАМ СПОРТА И ФИЗИЧЕСКОЙ КУЛЬТУРЫ МИНИСТЕРСТВА ТУРИЗМА И СПОРТА РЕСПУБЛИКИ КАЗАХСТАН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Дюсембаева Айман Тельмановна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20.02.2025 10:01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"Министерство просвещения Республики Казахстан"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КАРАМБАЕВ ЖОМАРТ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MIIRvAYJ...ZqyCIhgA=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20.02.2025 15:15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"Министерство просвещения Республики Казахстан"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ТАМАМОВА ЗАУРЕШ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MIISCAYJ...tz8Lgi1OJ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20.02.2025 15:23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20.02.2025 15:46.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Шакерова Молдир Аманболганкызы 20.02.2025 15:4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39E"/>
    <w:multiLevelType w:val="hybridMultilevel"/>
    <w:tmpl w:val="72525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DE8"/>
    <w:multiLevelType w:val="hybridMultilevel"/>
    <w:tmpl w:val="B810F3BC"/>
    <w:lvl w:ilvl="0" w:tplc="4148E58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F0F8B"/>
    <w:multiLevelType w:val="multilevel"/>
    <w:tmpl w:val="2ED2B5EA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B2"/>
    <w:rsid w:val="0002695A"/>
    <w:rsid w:val="00080AC9"/>
    <w:rsid w:val="0014739E"/>
    <w:rsid w:val="001C2A78"/>
    <w:rsid w:val="001E1D5C"/>
    <w:rsid w:val="001F0582"/>
    <w:rsid w:val="0022208E"/>
    <w:rsid w:val="002B227B"/>
    <w:rsid w:val="003E278E"/>
    <w:rsid w:val="00414E30"/>
    <w:rsid w:val="00545485"/>
    <w:rsid w:val="00561874"/>
    <w:rsid w:val="006478DF"/>
    <w:rsid w:val="00693060"/>
    <w:rsid w:val="00705680"/>
    <w:rsid w:val="00712072"/>
    <w:rsid w:val="007D255E"/>
    <w:rsid w:val="00807B68"/>
    <w:rsid w:val="00842782"/>
    <w:rsid w:val="00853638"/>
    <w:rsid w:val="008A27E3"/>
    <w:rsid w:val="00905A6B"/>
    <w:rsid w:val="00A04844"/>
    <w:rsid w:val="00A37CA4"/>
    <w:rsid w:val="00A4503A"/>
    <w:rsid w:val="00AB6009"/>
    <w:rsid w:val="00B14BB2"/>
    <w:rsid w:val="00BC7005"/>
    <w:rsid w:val="00C660E7"/>
    <w:rsid w:val="00C845CB"/>
    <w:rsid w:val="00C86A5D"/>
    <w:rsid w:val="00CC1C13"/>
    <w:rsid w:val="00D85BFA"/>
    <w:rsid w:val="00DA7D2F"/>
    <w:rsid w:val="00DE7E63"/>
    <w:rsid w:val="00E00729"/>
    <w:rsid w:val="00E41A57"/>
    <w:rsid w:val="00E859D1"/>
    <w:rsid w:val="00F54C4F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658C"/>
  <w15:chartTrackingRefBased/>
  <w15:docId w15:val="{B190D47A-7FAD-4D18-B063-0BFDF6A5304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78E"/>
  </w:style>
  <w:style w:type="paragraph" w:styleId="1">
    <w:name w:val="heading 1"/>
    <w:basedOn w:val="a"/>
    <w:link w:val="10"/>
    <w:uiPriority w:val="9"/>
    <w:qFormat/>
    <w:rsid w:val="00080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545485"/>
    <w:pPr>
      <w:spacing w:after="0" w:line="240" w:lineRule="auto"/>
    </w:pPr>
    <w:rPr>
      <w:rFonts w:eastAsia="DejaVu Sans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5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F54C4F"/>
  </w:style>
  <w:style w:type="paragraph" w:styleId="a4">
    <w:name w:val="List Paragraph"/>
    <w:basedOn w:val="a"/>
    <w:uiPriority w:val="34"/>
    <w:qFormat/>
    <w:rsid w:val="00080AC9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80AC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41" Type="http://schemas.openxmlformats.org/officeDocument/2006/relationships/image" Target="media/image941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Дюсенбаева Айман Тельмановна</dc:creator>
  <cp:keywords/>
  <dc:description/>
  <cp:lastModifiedBy>Молдир Шакенова</cp:lastModifiedBy>
  <cp:revision>20</cp:revision>
  <cp:lastPrinted>2025-02-05T11:57:00Z</cp:lastPrinted>
  <dcterms:created xsi:type="dcterms:W3CDTF">2025-01-28T06:27:00Z</dcterms:created>
  <dcterms:modified xsi:type="dcterms:W3CDTF">2025-02-20T04:20:00Z</dcterms:modified>
</cp:coreProperties>
</file>